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附件1：</w:t>
      </w:r>
    </w:p>
    <w:p>
      <w:pPr>
        <w:spacing w:line="36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选题指南</w:t>
      </w:r>
    </w:p>
    <w:p>
      <w:pPr>
        <w:spacing w:line="360" w:lineRule="auto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重点项目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苯二氮杂卓类等安神药物质（苯乙胺类等精神药物）质谱裂解规律研究及在非法添加食品药品中应用；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保健食品中非法添加药物</w:t>
      </w:r>
      <w:r>
        <w:rPr>
          <w:rFonts w:hint="eastAsia" w:ascii="宋体" w:hAnsi="宋体" w:cs="宋体"/>
          <w:sz w:val="28"/>
          <w:szCs w:val="28"/>
        </w:rPr>
        <w:t>拉曼光谱数据的化学计量学处理方法研究；</w:t>
      </w:r>
    </w:p>
    <w:p>
      <w:pPr>
        <w:spacing w:line="360" w:lineRule="auto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一般项目</w:t>
      </w:r>
    </w:p>
    <w:p>
      <w:pPr>
        <w:numPr>
          <w:ilvl w:val="0"/>
          <w:numId w:val="1"/>
        </w:num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痕量非法添加物激光共聚焦显微拉曼光谱检验方法的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研究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880EA1"/>
    <w:multiLevelType w:val="singleLevel"/>
    <w:tmpl w:val="DF880E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35FAD"/>
    <w:rsid w:val="04E35FAD"/>
    <w:rsid w:val="1CA76708"/>
    <w:rsid w:val="67F80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2019-03-12T05:31:00Z</dcterms:created>
  <dc:creator>开心</dc:creator>
  <cp:lastModifiedBy>Administrator</cp:lastModifiedBy>
  <dcterms:modified xsi:type="dcterms:W3CDTF">2019-03-14T01:07:36Z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